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High LDL cholesterol (&gt;=160) (odds ratio per 1-SD 1.02 (95% CI 0.95 to 1.09), false discovery rate q 0.717)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0.95 to 1.09)</w:t>
            </w:r>
          </w:p>
        </w:tc>
        <w:tc>
          <w:tcPr>
            <w:tcW w:type="dxa" w:w="1234"/>
          </w:tcPr>
          <w:p>
            <w:r>
              <w:t>0.674</w:t>
            </w:r>
          </w:p>
        </w:tc>
        <w:tc>
          <w:tcPr>
            <w:tcW w:type="dxa" w:w="1234"/>
          </w:tcPr>
          <w:p>
            <w:r>
              <w:t>0.717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24.7</w:t>
            </w:r>
          </w:p>
        </w:tc>
        <w:tc>
          <w:tcPr>
            <w:tcW w:type="dxa" w:w="2160"/>
          </w:tcPr>
          <w:p>
            <w:r>
              <w:t>24.6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