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High LDL cholesterol (&gt;=160) (odds ratio per 1-SD 1.19 (95% CI 0.88 to 1.63), false discovery rate q 0.342)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0.88 to 1.63)</w:t>
            </w:r>
          </w:p>
        </w:tc>
        <w:tc>
          <w:tcPr>
            <w:tcW w:type="dxa" w:w="1234"/>
          </w:tcPr>
          <w:p>
            <w:r>
              <w:t>0.289</w:t>
            </w:r>
          </w:p>
        </w:tc>
        <w:tc>
          <w:tcPr>
            <w:tcW w:type="dxa" w:w="1234"/>
          </w:tcPr>
          <w:p>
            <w:r>
              <w:t>0.342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261.0</w:t>
            </w:r>
          </w:p>
        </w:tc>
        <w:tc>
          <w:tcPr>
            <w:tcW w:type="dxa" w:w="2160"/>
          </w:tcPr>
          <w:p>
            <w:r>
              <w:t>260.1</w:t>
            </w:r>
          </w:p>
        </w:tc>
        <w:tc>
          <w:tcPr>
            <w:tcW w:type="dxa" w:w="2160"/>
          </w:tcPr>
          <w:p>
            <w:r>
              <w:t>269.2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