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LDL cholesterol (&gt;=160)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positively associated with High LDL cholesterol (&gt;=160) (odds ratio per 1-SD 1.04 (95% CI 0.91 to 1.19), false discovery rate q 0.607) among 12093 adults aged 20 years or older (a weighted High LDL cholesterol (&gt;=160) prevalence of 10.1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0.91 to 1.19)</w:t>
            </w:r>
          </w:p>
        </w:tc>
        <w:tc>
          <w:tcPr>
            <w:tcW w:type="dxa" w:w="1234"/>
          </w:tcPr>
          <w:p>
            <w:r>
              <w:t>0.551</w:t>
            </w:r>
          </w:p>
        </w:tc>
        <w:tc>
          <w:tcPr>
            <w:tcW w:type="dxa" w:w="1234"/>
          </w:tcPr>
          <w:p>
            <w:r>
              <w:t>0.607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96.6</w:t>
            </w:r>
          </w:p>
        </w:tc>
        <w:tc>
          <w:tcPr>
            <w:tcW w:type="dxa" w:w="2160"/>
          </w:tcPr>
          <w:p>
            <w:r>
              <w:t>96.8</w:t>
            </w:r>
          </w:p>
        </w:tc>
        <w:tc>
          <w:tcPr>
            <w:tcW w:type="dxa" w:w="2160"/>
          </w:tcPr>
          <w:p>
            <w:r>
              <w:t>94.7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29.5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