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High LDL cholesterol (&gt;=160) (odds ratio per 1-SD 1.00 (95% CI 0.93 to 1.09), false discovery rate q 0.931)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0.93 to 1.09)</w:t>
            </w:r>
          </w:p>
        </w:tc>
        <w:tc>
          <w:tcPr>
            <w:tcW w:type="dxa" w:w="1234"/>
          </w:tcPr>
          <w:p>
            <w:r>
              <w:t>0.919</w:t>
            </w:r>
          </w:p>
        </w:tc>
        <w:tc>
          <w:tcPr>
            <w:tcW w:type="dxa" w:w="1234"/>
          </w:tcPr>
          <w:p>
            <w:r>
              <w:t>0.931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106.5</w:t>
            </w:r>
          </w:p>
        </w:tc>
        <w:tc>
          <w:tcPr>
            <w:tcW w:type="dxa" w:w="2160"/>
          </w:tcPr>
          <w:p>
            <w:r>
              <w:t>106.3</w:t>
            </w:r>
          </w:p>
        </w:tc>
        <w:tc>
          <w:tcPr>
            <w:tcW w:type="dxa" w:w="2160"/>
          </w:tcPr>
          <w:p>
            <w:r>
              <w:t>107.9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