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Height, cm was inversely associated with High LDL cholesterol (&gt;=160) (odds ratio per 1-SD 0.92 (95% CI 0.81 to 1.04), false discovery rate q 0.207) among 12093 adults aged 20 years or older (a weighted High LDL cholesterol (&gt;=160) prevalence of 10.1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0.92 (95% CI 0.81 to 1.04)</w:t>
            </w:r>
          </w:p>
        </w:tc>
        <w:tc>
          <w:tcPr>
            <w:tcW w:type="dxa" w:w="1234"/>
          </w:tcPr>
          <w:p>
            <w:r>
              <w:t>0.166</w:t>
            </w:r>
          </w:p>
        </w:tc>
        <w:tc>
          <w:tcPr>
            <w:tcW w:type="dxa" w:w="1234"/>
          </w:tcPr>
          <w:p>
            <w:r>
              <w:t>0.207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Height, cm (exposure)</w:t>
            </w:r>
          </w:p>
        </w:tc>
        <w:tc>
          <w:tcPr>
            <w:tcW w:type="dxa" w:w="2160"/>
          </w:tcPr>
          <w:p>
            <w:r>
              <w:t>168.6</w:t>
            </w:r>
          </w:p>
        </w:tc>
        <w:tc>
          <w:tcPr>
            <w:tcW w:type="dxa" w:w="2160"/>
          </w:tcPr>
          <w:p>
            <w:r>
              <w:t>168.7</w:t>
            </w:r>
          </w:p>
        </w:tc>
        <w:tc>
          <w:tcPr>
            <w:tcW w:type="dxa" w:w="2160"/>
          </w:tcPr>
          <w:p>
            <w:r>
              <w:t>167.7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