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High LDL cholesterol (&gt;=160) (odds ratio 0.89 (95% CI 0.70 to 1.13), false discovery rate q 0.410)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0.70 to 1.13)</w:t>
            </w:r>
          </w:p>
        </w:tc>
        <w:tc>
          <w:tcPr>
            <w:tcW w:type="dxa" w:w="1234"/>
          </w:tcPr>
          <w:p>
            <w:r>
              <w:t>0.354</w:t>
            </w:r>
          </w:p>
        </w:tc>
        <w:tc>
          <w:tcPr>
            <w:tcW w:type="dxa" w:w="1234"/>
          </w:tcPr>
          <w:p>
            <w:r>
              <w:t>0.410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36.3%</w:t>
            </w:r>
          </w:p>
        </w:tc>
        <w:tc>
          <w:tcPr>
            <w:tcW w:type="dxa" w:w="2160"/>
          </w:tcPr>
          <w:p>
            <w:r>
              <w:t>36.1%</w:t>
            </w:r>
          </w:p>
        </w:tc>
        <w:tc>
          <w:tcPr>
            <w:tcW w:type="dxa" w:w="2160"/>
          </w:tcPr>
          <w:p>
            <w:r>
              <w:t>38.0%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