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High LDL cholesterol (&gt;=160)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Osteoporosis (T-score&lt;=-2.5, age&gt;=50) was positively associated with High LDL cholesterol (&gt;=160) (odds ratio 1.15 (95% CI 0.71 to 1.85), false discovery rate q 0.621) among 12093 adults aged 20 years or older (a weighted High LDL cholesterol (&gt;=160) prevalence of 10.1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1.15 (95% CI 0.71 to 1.85)</w:t>
            </w:r>
          </w:p>
        </w:tc>
        <w:tc>
          <w:tcPr>
            <w:tcW w:type="dxa" w:w="1234"/>
          </w:tcPr>
          <w:p>
            <w:r>
              <w:t>0.567</w:t>
            </w:r>
          </w:p>
        </w:tc>
        <w:tc>
          <w:tcPr>
            <w:tcW w:type="dxa" w:w="1234"/>
          </w:tcPr>
          <w:p>
            <w:r>
              <w:t>0.621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Osteoporosis (T-score&lt;=-2.5, age&gt;=50) (exposure)</w:t>
            </w:r>
          </w:p>
        </w:tc>
        <w:tc>
          <w:tcPr>
            <w:tcW w:type="dxa" w:w="2160"/>
          </w:tcPr>
          <w:p>
            <w:r>
              <w:t>7.8%</w:t>
            </w:r>
          </w:p>
        </w:tc>
        <w:tc>
          <w:tcPr>
            <w:tcW w:type="dxa" w:w="2160"/>
          </w:tcPr>
          <w:p>
            <w:r>
              <w:t>7.7%</w:t>
            </w:r>
          </w:p>
        </w:tc>
        <w:tc>
          <w:tcPr>
            <w:tcW w:type="dxa" w:w="2160"/>
          </w:tcPr>
          <w:p>
            <w:r>
              <w:t>8.9%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29.5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