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Serum 25(OH)D, ng/mL and High LDL cholesterol (&gt;=160)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Serum 25(OH)D, ng/mL was positively associated with High LDL cholesterol (&gt;=160) (odds ratio per 1-SD 1.02 (95% CI 0.93 to 1.11), false discovery rate q 0.741) among 12093 adults aged 20 years or older (a weighted High LDL cholesterol (&gt;=160) prevalence of 10.1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Serum 25(OH)D, ng/mL</w:t>
            </w:r>
          </w:p>
        </w:tc>
        <w:tc>
          <w:tcPr>
            <w:tcW w:type="dxa" w:w="1234"/>
          </w:tcPr>
          <w:p>
            <w:r>
              <w:t>High LDL cholesterol (&gt;=160)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1.02 (95% CI 0.93 to 1.11)</w:t>
            </w:r>
          </w:p>
        </w:tc>
        <w:tc>
          <w:tcPr>
            <w:tcW w:type="dxa" w:w="1234"/>
          </w:tcPr>
          <w:p>
            <w:r>
              <w:t>0.702</w:t>
            </w:r>
          </w:p>
        </w:tc>
        <w:tc>
          <w:tcPr>
            <w:tcW w:type="dxa" w:w="1234"/>
          </w:tcPr>
          <w:p>
            <w:r>
              <w:t>0.741</w:t>
            </w:r>
          </w:p>
        </w:tc>
        <w:tc>
          <w:tcPr>
            <w:tcW w:type="dxa" w:w="1234"/>
          </w:tcPr>
          <w:p>
            <w:r>
              <w:t>12093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High LDL cholesterol (&gt;=160)</w:t>
            </w:r>
          </w:p>
        </w:tc>
        <w:tc>
          <w:tcPr>
            <w:tcW w:type="dxa" w:w="2160"/>
          </w:tcPr>
          <w:p>
            <w:r>
              <w:t>High LDL cholesterol (&gt;=160)</w:t>
            </w:r>
          </w:p>
        </w:tc>
      </w:tr>
      <w:tr>
        <w:tc>
          <w:tcPr>
            <w:tcW w:type="dxa" w:w="2160"/>
          </w:tcPr>
          <w:p>
            <w:r>
              <w:t>Serum 25(OH)D, ng/mL (exposure)</w:t>
            </w:r>
          </w:p>
        </w:tc>
        <w:tc>
          <w:tcPr>
            <w:tcW w:type="dxa" w:w="2160"/>
          </w:tcPr>
          <w:p>
            <w:r>
              <w:t>28.3</w:t>
            </w:r>
          </w:p>
        </w:tc>
        <w:tc>
          <w:tcPr>
            <w:tcW w:type="dxa" w:w="2160"/>
          </w:tcPr>
          <w:p>
            <w:r>
              <w:t>28.2</w:t>
            </w:r>
          </w:p>
        </w:tc>
        <w:tc>
          <w:tcPr>
            <w:tcW w:type="dxa" w:w="2160"/>
          </w:tcPr>
          <w:p>
            <w:r>
              <w:t>28.8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47.9</w:t>
            </w:r>
          </w:p>
        </w:tc>
        <w:tc>
          <w:tcPr>
            <w:tcW w:type="dxa" w:w="2160"/>
          </w:tcPr>
          <w:p>
            <w:r>
              <w:t>47.6</w:t>
            </w:r>
          </w:p>
        </w:tc>
        <w:tc>
          <w:tcPr>
            <w:tcW w:type="dxa" w:w="2160"/>
          </w:tcPr>
          <w:p>
            <w:r>
              <w:t>50.2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48.2%</w:t>
            </w:r>
          </w:p>
        </w:tc>
        <w:tc>
          <w:tcPr>
            <w:tcW w:type="dxa" w:w="2160"/>
          </w:tcPr>
          <w:p>
            <w:r>
              <w:t>48.4%</w:t>
            </w:r>
          </w:p>
        </w:tc>
        <w:tc>
          <w:tcPr>
            <w:tcW w:type="dxa" w:w="2160"/>
          </w:tcPr>
          <w:p>
            <w:r>
              <w:t>46.3%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29.0</w:t>
            </w:r>
          </w:p>
        </w:tc>
        <w:tc>
          <w:tcPr>
            <w:tcW w:type="dxa" w:w="2160"/>
          </w:tcPr>
          <w:p>
            <w:r>
              <w:t>29.5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43.7%</w:t>
            </w:r>
          </w:p>
        </w:tc>
        <w:tc>
          <w:tcPr>
            <w:tcW w:type="dxa" w:w="2160"/>
          </w:tcPr>
          <w:p>
            <w:r>
              <w:t>43.5%</w:t>
            </w:r>
          </w:p>
        </w:tc>
        <w:tc>
          <w:tcPr>
            <w:tcW w:type="dxa" w:w="2160"/>
          </w:tcPr>
          <w:p>
            <w:r>
              <w:t>45.6%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81.1%</w:t>
            </w:r>
          </w:p>
        </w:tc>
        <w:tc>
          <w:tcPr>
            <w:tcW w:type="dxa" w:w="2160"/>
          </w:tcPr>
          <w:p>
            <w:r>
              <w:t>81.1%</w:t>
            </w:r>
          </w:p>
        </w:tc>
        <w:tc>
          <w:tcPr>
            <w:tcW w:type="dxa" w:w="2160"/>
          </w:tcPr>
          <w:p>
            <w:r>
              <w:t>80.4%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