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High LDL cholesterol (&gt;=160) (odds ratio per 1-SD 1.05 (95% CI 0.87 to 1.28), false discovery rate q 0.657)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0.87 to 1.28)</w:t>
            </w:r>
          </w:p>
        </w:tc>
        <w:tc>
          <w:tcPr>
            <w:tcW w:type="dxa" w:w="1234"/>
          </w:tcPr>
          <w:p>
            <w:r>
              <w:t>0.607</w:t>
            </w:r>
          </w:p>
        </w:tc>
        <w:tc>
          <w:tcPr>
            <w:tcW w:type="dxa" w:w="1234"/>
          </w:tcPr>
          <w:p>
            <w:r>
              <w:t>0.657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54.6</w:t>
            </w:r>
          </w:p>
        </w:tc>
        <w:tc>
          <w:tcPr>
            <w:tcW w:type="dxa" w:w="2160"/>
          </w:tcPr>
          <w:p>
            <w:r>
              <w:t>54.5</w:t>
            </w:r>
          </w:p>
        </w:tc>
        <w:tc>
          <w:tcPr>
            <w:tcW w:type="dxa" w:w="2160"/>
          </w:tcPr>
          <w:p>
            <w:r>
              <w:t>55.1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