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High LDL cholesterol (&gt;=160) (odds ratio per 1-SD 1.07 (95% CI 1.00 to 1.14), false discovery rate q 0.072) among 12093 adults aged 20 years or older (a weighted High LDL cholesterol (&gt;=160) prevalence of 10.1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1.00 to 1.14)</w:t>
            </w:r>
          </w:p>
        </w:tc>
        <w:tc>
          <w:tcPr>
            <w:tcW w:type="dxa" w:w="1234"/>
          </w:tcPr>
          <w:p>
            <w:r>
              <w:t>0.052</w:t>
            </w:r>
          </w:p>
        </w:tc>
        <w:tc>
          <w:tcPr>
            <w:tcW w:type="dxa" w:w="1234"/>
          </w:tcPr>
          <w:p>
            <w:r>
              <w:t>0.072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99.2</w:t>
            </w:r>
          </w:p>
        </w:tc>
        <w:tc>
          <w:tcPr>
            <w:tcW w:type="dxa" w:w="2160"/>
          </w:tcPr>
          <w:p>
            <w:r>
              <w:t>99.1</w:t>
            </w:r>
          </w:p>
        </w:tc>
        <w:tc>
          <w:tcPr>
            <w:tcW w:type="dxa" w:w="2160"/>
          </w:tcPr>
          <w:p>
            <w:r>
              <w:t>100.5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