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Alanine aminotransferase, IU/L and High non-HDL cholesterol (&gt;=190)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Alanine aminotransferase, IU/L was positively associated with High non-HDL cholesterol (&gt;=190) (odds ratio per 1-SD 1.25 (95% CI 1.16 to 1.35), false discovery rate q &lt;0.001) among 25076 adults aged 20 years or older (a weighted High non-HDL cholesterol (&gt;=190) prevalence of 11.7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Alanine aminotransferase, IU/L</w:t>
            </w:r>
          </w:p>
        </w:tc>
        <w:tc>
          <w:tcPr>
            <w:tcW w:type="dxa" w:w="1234"/>
          </w:tcPr>
          <w:p>
            <w:r>
              <w:t>High non-HDL cholesterol (&gt;=190)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1.25 (95% CI 1.16 to 1.35)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non-HDL cholesterol (&gt;=190)</w:t>
            </w:r>
          </w:p>
        </w:tc>
        <w:tc>
          <w:tcPr>
            <w:tcW w:type="dxa" w:w="2160"/>
          </w:tcPr>
          <w:p>
            <w:r>
              <w:t>High non-HDL cholesterol (&gt;=190)</w:t>
            </w:r>
          </w:p>
        </w:tc>
      </w:tr>
      <w:tr>
        <w:tc>
          <w:tcPr>
            <w:tcW w:type="dxa" w:w="2160"/>
          </w:tcPr>
          <w:p>
            <w:r>
              <w:t>Alanine aminotransferase, IU/L (exposure)</w:t>
            </w:r>
          </w:p>
        </w:tc>
        <w:tc>
          <w:tcPr>
            <w:tcW w:type="dxa" w:w="2160"/>
          </w:tcPr>
          <w:p>
            <w:r>
              <w:t>24.9</w:t>
            </w:r>
          </w:p>
        </w:tc>
        <w:tc>
          <w:tcPr>
            <w:tcW w:type="dxa" w:w="2160"/>
          </w:tcPr>
          <w:p>
            <w:r>
              <w:t>24.3</w:t>
            </w:r>
          </w:p>
        </w:tc>
        <w:tc>
          <w:tcPr>
            <w:tcW w:type="dxa" w:w="2160"/>
          </w:tcPr>
          <w:p>
            <w:r>
              <w:t>29.4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49.2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47.5%</w:t>
            </w:r>
          </w:p>
        </w:tc>
        <w:tc>
          <w:tcPr>
            <w:tcW w:type="dxa" w:w="2160"/>
          </w:tcPr>
          <w:p>
            <w:r>
              <w:t>52.2%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  <w:tc>
          <w:tcPr>
            <w:tcW w:type="dxa" w:w="2160"/>
          </w:tcPr>
          <w:p>
            <w:r>
              <w:t>30.1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49.0%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