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inversely associated with High non-HDL cholesterol (&gt;=190) (odds ratio 0.94 (95% CI 0.81 to 1.10), false discovery rate q 0.485)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0.81 to 1.10)</w:t>
            </w:r>
          </w:p>
        </w:tc>
        <w:tc>
          <w:tcPr>
            <w:tcW w:type="dxa" w:w="1234"/>
          </w:tcPr>
          <w:p>
            <w:r>
              <w:t>0.427</w:t>
            </w:r>
          </w:p>
        </w:tc>
        <w:tc>
          <w:tcPr>
            <w:tcW w:type="dxa" w:w="1234"/>
          </w:tcPr>
          <w:p>
            <w:r>
              <w:t>0.485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13.6%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