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positively associated with High non-HDL cholesterol (&gt;=190) (odds ratio 1.37 (95% CI 1.12 to 1.66), false discovery rate q 0.004) among 25076 adults aged 20 years or older (a weighted High non-HDL cholesterol (&gt;=190) prevalence of 11.7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1.37 (95% CI 1.12 to 1.66)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Elevated AST (&gt;40 IU/L) (exposure)</w:t>
            </w:r>
          </w:p>
        </w:tc>
        <w:tc>
          <w:tcPr>
            <w:tcW w:type="dxa" w:w="2160"/>
          </w:tcPr>
          <w:p>
            <w:r>
              <w:t>5.3%</w:t>
            </w:r>
          </w:p>
        </w:tc>
        <w:tc>
          <w:tcPr>
            <w:tcW w:type="dxa" w:w="2160"/>
          </w:tcPr>
          <w:p>
            <w:r>
              <w:t>5.0%</w:t>
            </w:r>
          </w:p>
        </w:tc>
        <w:tc>
          <w:tcPr>
            <w:tcW w:type="dxa" w:w="2160"/>
          </w:tcPr>
          <w:p>
            <w:r>
              <w:t>6.9%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