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High non-HDL cholesterol (&gt;=190)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Hemoglobin, g/dL was positively associated with High non-HDL cholesterol (&gt;=190) (odds ratio per 1-SD 1.55 (95% CI 1.43 to 1.68), false discovery rate q &lt;0.001) among 25076 adults aged 20 years or older (a weighted High non-HDL cholesterol (&gt;=190) prevalence of 11.7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1.55 (95% CI 1.43 to 1.68)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non-HDL cholesterol (&gt;=190)</w:t>
            </w:r>
          </w:p>
        </w:tc>
        <w:tc>
          <w:tcPr>
            <w:tcW w:type="dxa" w:w="2160"/>
          </w:tcPr>
          <w:p>
            <w:r>
              <w:t>High non-HDL cholesterol (&gt;=190)</w:t>
            </w:r>
          </w:p>
        </w:tc>
      </w:tr>
      <w:tr>
        <w:tc>
          <w:tcPr>
            <w:tcW w:type="dxa" w:w="2160"/>
          </w:tcPr>
          <w:p>
            <w:r>
              <w:t>Hemoglobin, g/dL (exposure)</w:t>
            </w:r>
          </w:p>
        </w:tc>
        <w:tc>
          <w:tcPr>
            <w:tcW w:type="dxa" w:w="2160"/>
          </w:tcPr>
          <w:p>
            <w:r>
              <w:t>14.2</w:t>
            </w:r>
          </w:p>
        </w:tc>
        <w:tc>
          <w:tcPr>
            <w:tcW w:type="dxa" w:w="2160"/>
          </w:tcPr>
          <w:p>
            <w:r>
              <w:t>14.1</w:t>
            </w:r>
          </w:p>
        </w:tc>
        <w:tc>
          <w:tcPr>
            <w:tcW w:type="dxa" w:w="2160"/>
          </w:tcPr>
          <w:p>
            <w:r>
              <w:t>14.6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47.5%</w:t>
            </w:r>
          </w:p>
        </w:tc>
        <w:tc>
          <w:tcPr>
            <w:tcW w:type="dxa" w:w="2160"/>
          </w:tcPr>
          <w:p>
            <w:r>
              <w:t>52.2%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