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High non-HDL cholesterol (&gt;=190) (odds ratio 1.08 (95% CI 0.92 to 1.27), false discovery rate q 0.393)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0.92 to 1.27)</w:t>
            </w:r>
          </w:p>
        </w:tc>
        <w:tc>
          <w:tcPr>
            <w:tcW w:type="dxa" w:w="1234"/>
          </w:tcPr>
          <w:p>
            <w:r>
              <w:t>0.338</w:t>
            </w:r>
          </w:p>
        </w:tc>
        <w:tc>
          <w:tcPr>
            <w:tcW w:type="dxa" w:w="1234"/>
          </w:tcPr>
          <w:p>
            <w:r>
              <w:t>0.393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36.1%</w:t>
            </w:r>
          </w:p>
        </w:tc>
        <w:tc>
          <w:tcPr>
            <w:tcW w:type="dxa" w:w="2160"/>
          </w:tcPr>
          <w:p>
            <w:r>
              <w:t>35.5%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