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High non-HDL cholesterol (&gt;=190)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Low muscle mass (low ASMI, AWGS cut) was inversely associated with High non-HDL cholesterol (&gt;=190) (odds ratio 0.35 (95% CI 0.21 to 0.60), false discovery rate q &lt;0.001) among 25076 adults aged 20 years or older (a weighted High non-HDL cholesterol (&gt;=190) prevalence of 11.7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0.35 (95% CI 0.21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3.1%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  <w:tc>
          <w:tcPr>
            <w:tcW w:type="dxa" w:w="2160"/>
          </w:tcPr>
          <w:p>
            <w:r>
              <w:t>1.2%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  <w:tc>
          <w:tcPr>
            <w:tcW w:type="dxa" w:w="2160"/>
          </w:tcPr>
          <w:p>
            <w:r>
              <w:t>49.2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47.5%</w:t>
            </w:r>
          </w:p>
        </w:tc>
        <w:tc>
          <w:tcPr>
            <w:tcW w:type="dxa" w:w="2160"/>
          </w:tcPr>
          <w:p>
            <w:r>
              <w:t>52.2%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29.0</w:t>
            </w:r>
          </w:p>
        </w:tc>
        <w:tc>
          <w:tcPr>
            <w:tcW w:type="dxa" w:w="2160"/>
          </w:tcPr>
          <w:p>
            <w:r>
              <w:t>30.1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42.6%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