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High non-HDL cholesterol (&gt;=190)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positively associated with High non-HDL cholesterol (&gt;=190) (odds ratio 1.17 (95% CI 0.80 to 1.72), false discovery rate q 0.470) among 25076 adults aged 20 years or older (a weighted High non-HDL cholesterol (&gt;=190) prevalence of 11.7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1.17 (95% CI 0.80 to 1.72)</w:t>
            </w:r>
          </w:p>
        </w:tc>
        <w:tc>
          <w:tcPr>
            <w:tcW w:type="dxa" w:w="1234"/>
          </w:tcPr>
          <w:p>
            <w:r>
              <w:t>0.411</w:t>
            </w:r>
          </w:p>
        </w:tc>
        <w:tc>
          <w:tcPr>
            <w:tcW w:type="dxa" w:w="1234"/>
          </w:tcPr>
          <w:p>
            <w:r>
              <w:t>0.470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Osteoporosis (T-score&lt;=-2.5, age&gt;=50) (exposure)</w:t>
            </w:r>
          </w:p>
        </w:tc>
        <w:tc>
          <w:tcPr>
            <w:tcW w:type="dxa" w:w="2160"/>
          </w:tcPr>
          <w:p>
            <w:r>
              <w:t>8.7%</w:t>
            </w:r>
          </w:p>
        </w:tc>
        <w:tc>
          <w:tcPr>
            <w:tcW w:type="dxa" w:w="2160"/>
          </w:tcPr>
          <w:p>
            <w:r>
              <w:t>8.7%</w:t>
            </w:r>
          </w:p>
        </w:tc>
        <w:tc>
          <w:tcPr>
            <w:tcW w:type="dxa" w:w="2160"/>
          </w:tcPr>
          <w:p>
            <w:r>
              <w:t>8.8%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52.2%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