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creatinine, mg/dL and High non-HDL cholesterol (&gt;=190)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Serum creatinine, mg/dL was inversely associated with High non-HDL cholesterol (&gt;=190) (odds ratio per 1-SD 0.89 (95% CI 0.80 to 1.00), false discovery rate q 0.063) among 25076 adults aged 20 years or older (a weighted High non-HDL cholesterol (&gt;=190) prevalence of 11.7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0.89 (95% CI 0.80 to 1.00)</w:t>
            </w:r>
          </w:p>
        </w:tc>
        <w:tc>
          <w:tcPr>
            <w:tcW w:type="dxa" w:w="1234"/>
          </w:tcPr>
          <w:p>
            <w:r>
              <w:t>0.046</w:t>
            </w:r>
          </w:p>
        </w:tc>
        <w:tc>
          <w:tcPr>
            <w:tcW w:type="dxa" w:w="1234"/>
          </w:tcPr>
          <w:p>
            <w:r>
              <w:t>0.063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non-HDL cholesterol (&gt;=190)</w:t>
            </w:r>
          </w:p>
        </w:tc>
        <w:tc>
          <w:tcPr>
            <w:tcW w:type="dxa" w:w="2160"/>
          </w:tcPr>
          <w:p>
            <w:r>
              <w:t>High non-HDL cholesterol (&gt;=190)</w:t>
            </w:r>
          </w:p>
        </w:tc>
      </w:tr>
      <w:tr>
        <w:tc>
          <w:tcPr>
            <w:tcW w:type="dxa" w:w="2160"/>
          </w:tcPr>
          <w:p>
            <w:r>
              <w:t>Serum creatinine, mg/dL (exposure)</w:t>
            </w:r>
          </w:p>
        </w:tc>
        <w:tc>
          <w:tcPr>
            <w:tcW w:type="dxa" w:w="2160"/>
          </w:tcPr>
          <w:p>
            <w:r>
              <w:t>0.9</w:t>
            </w:r>
          </w:p>
        </w:tc>
        <w:tc>
          <w:tcPr>
            <w:tcW w:type="dxa" w:w="2160"/>
          </w:tcPr>
          <w:p>
            <w:r>
              <w:t>0.9</w:t>
            </w:r>
          </w:p>
        </w:tc>
        <w:tc>
          <w:tcPr>
            <w:tcW w:type="dxa" w:w="2160"/>
          </w:tcPr>
          <w:p>
            <w:r>
              <w:t>0.9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47.5%</w:t>
            </w:r>
          </w:p>
        </w:tc>
        <w:tc>
          <w:tcPr>
            <w:tcW w:type="dxa" w:w="2160"/>
          </w:tcPr>
          <w:p>
            <w:r>
              <w:t>52.2%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30.1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