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Systolic blood pressure, mmHg and High non-HDL cholesterol (&gt;=190)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Systolic blood pressure, mmHg was positively associated with High non-HDL cholesterol (&gt;=190) (odds ratio per 1-SD 1.29 (95% CI 1.20 to 1.38), false discovery rate q &lt;0.001) among 25076 adults aged 20 years or older (a weighted High non-HDL cholesterol (&gt;=190) prevalence of 11.7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Systolic blood pressure, mmHg</w:t>
            </w:r>
          </w:p>
        </w:tc>
        <w:tc>
          <w:tcPr>
            <w:tcW w:type="dxa" w:w="1234"/>
          </w:tcPr>
          <w:p>
            <w:r>
              <w:t>High non-HDL cholesterol (&gt;=190)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1.29 (95% CI 1.20 to 1.38)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non-HDL cholesterol (&gt;=190)</w:t>
            </w:r>
          </w:p>
        </w:tc>
        <w:tc>
          <w:tcPr>
            <w:tcW w:type="dxa" w:w="2160"/>
          </w:tcPr>
          <w:p>
            <w:r>
              <w:t>High non-HDL cholesterol (&gt;=190)</w:t>
            </w:r>
          </w:p>
        </w:tc>
      </w:tr>
      <w:tr>
        <w:tc>
          <w:tcPr>
            <w:tcW w:type="dxa" w:w="2160"/>
          </w:tcPr>
          <w:p>
            <w:r>
              <w:t>Systolic blood pressure, mmHg (exposure)</w:t>
            </w:r>
          </w:p>
        </w:tc>
        <w:tc>
          <w:tcPr>
            <w:tcW w:type="dxa" w:w="2160"/>
          </w:tcPr>
          <w:p>
            <w:r>
              <w:t>122.5</w:t>
            </w:r>
          </w:p>
        </w:tc>
        <w:tc>
          <w:tcPr>
            <w:tcW w:type="dxa" w:w="2160"/>
          </w:tcPr>
          <w:p>
            <w:r>
              <w:t>121.9</w:t>
            </w:r>
          </w:p>
        </w:tc>
        <w:tc>
          <w:tcPr>
            <w:tcW w:type="dxa" w:w="2160"/>
          </w:tcPr>
          <w:p>
            <w:r>
              <w:t>126.6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49.2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47.5%</w:t>
            </w:r>
          </w:p>
        </w:tc>
        <w:tc>
          <w:tcPr>
            <w:tcW w:type="dxa" w:w="2160"/>
          </w:tcPr>
          <w:p>
            <w:r>
              <w:t>52.2%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  <w:tc>
          <w:tcPr>
            <w:tcW w:type="dxa" w:w="2160"/>
          </w:tcPr>
          <w:p>
            <w:r>
              <w:t>30.1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49.0%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