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Hypertension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Alanine aminotransferase, IU/L was positively associated with Hypertension (odds ratio per 1-SD 1.24 (95% CI 1.16 to 1.31), false discovery rate q &lt;0.001) among 25491 adults aged 20 years or older (a weighted Hypertension prevalence of 36.2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1.24 (95% CI 1.16 to 1.31)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Alanine aminotransferase, IU/L (exposure)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  <w:tc>
          <w:tcPr>
            <w:tcW w:type="dxa" w:w="2160"/>
          </w:tcPr>
          <w:p>
            <w:r>
              <w:t>24.2</w:t>
            </w:r>
          </w:p>
        </w:tc>
        <w:tc>
          <w:tcPr>
            <w:tcW w:type="dxa" w:w="2160"/>
          </w:tcPr>
          <w:p>
            <w:r>
              <w:t>26.0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41.4</w:t>
            </w:r>
          </w:p>
        </w:tc>
        <w:tc>
          <w:tcPr>
            <w:tcW w:type="dxa" w:w="2160"/>
          </w:tcPr>
          <w:p>
            <w:r>
              <w:t>59.0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  <w:tc>
          <w:tcPr>
            <w:tcW w:type="dxa" w:w="2160"/>
          </w:tcPr>
          <w:p>
            <w:r>
              <w:t>31.0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