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Hypertension (odds ratio 1.19 (95% CI 1.00 to 1.41), false discovery rate q 0.068) among 25491 adults aged 20 years or older (a weighted Hypertension prevalence of 36.2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1.19 (95% CI 1.00 to 1.41)</w:t>
            </w:r>
          </w:p>
        </w:tc>
        <w:tc>
          <w:tcPr>
            <w:tcW w:type="dxa" w:w="1234"/>
          </w:tcPr>
          <w:p>
            <w:r>
              <w:t>0.049</w:t>
            </w:r>
          </w:p>
        </w:tc>
        <w:tc>
          <w:tcPr>
            <w:tcW w:type="dxa" w:w="1234"/>
          </w:tcPr>
          <w:p>
            <w:r>
              <w:t>0.068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Atherogenic dyslipidemia (high TG + low HDL) (exposure)</w:t>
            </w:r>
          </w:p>
        </w:tc>
        <w:tc>
          <w:tcPr>
            <w:tcW w:type="dxa" w:w="2160"/>
          </w:tcPr>
          <w:p>
            <w:r>
              <w:t>13.1%</w:t>
            </w:r>
          </w:p>
        </w:tc>
        <w:tc>
          <w:tcPr>
            <w:tcW w:type="dxa" w:w="2160"/>
          </w:tcPr>
          <w:p>
            <w:r>
              <w:t>11.1%</w:t>
            </w:r>
          </w:p>
        </w:tc>
        <w:tc>
          <w:tcPr>
            <w:tcW w:type="dxa" w:w="2160"/>
          </w:tcPr>
          <w:p>
            <w:r>
              <w:t>16.5%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