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Hypertension (odds ratio per 1-SD 0.97 (95% CI 0.91 to 1.02), false discovery rate q 0.277)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0.91 to 1.02)</w:t>
            </w:r>
          </w:p>
        </w:tc>
        <w:tc>
          <w:tcPr>
            <w:tcW w:type="dxa" w:w="1234"/>
          </w:tcPr>
          <w:p>
            <w:r>
              <w:t>0.229</w:t>
            </w:r>
          </w:p>
        </w:tc>
        <w:tc>
          <w:tcPr>
            <w:tcW w:type="dxa" w:w="1234"/>
          </w:tcPr>
          <w:p>
            <w:r>
              <w:t>0.277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53.7</w:t>
            </w:r>
          </w:p>
        </w:tc>
        <w:tc>
          <w:tcPr>
            <w:tcW w:type="dxa" w:w="2160"/>
          </w:tcPr>
          <w:p>
            <w:r>
              <w:t>54.1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