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inversely associated with Hypertension (odds ratio per 1-SD 0.89 (95% CI 0.83 to 0.96), false discovery rate q 0.003)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0.83 to 0.96)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113.8</w:t>
            </w:r>
          </w:p>
        </w:tc>
        <w:tc>
          <w:tcPr>
            <w:tcW w:type="dxa" w:w="2160"/>
          </w:tcPr>
          <w:p>
            <w:r>
              <w:t>115.0</w:t>
            </w:r>
          </w:p>
        </w:tc>
        <w:tc>
          <w:tcPr>
            <w:tcW w:type="dxa" w:w="2160"/>
          </w:tcPr>
          <w:p>
            <w:r>
              <w:t>111.6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