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Liver stiffness, kPa and Hypertension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Liver stiffness, kPa was positively associated with Hypertension (odds ratio per 1-SD 1.07 (95% CI 0.95 to 1.21), false discovery rate q 0.337) among 25491 adults aged 20 years or older (a weighted Hypertension prevalence of 36.2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Liver stiffness, kPa</w:t>
            </w:r>
          </w:p>
        </w:tc>
        <w:tc>
          <w:tcPr>
            <w:tcW w:type="dxa" w:w="1234"/>
          </w:tcPr>
          <w:p>
            <w:r>
              <w:t>Hypertension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1.07 (95% CI 0.95 to 1.21)</w:t>
            </w:r>
          </w:p>
        </w:tc>
        <w:tc>
          <w:tcPr>
            <w:tcW w:type="dxa" w:w="1234"/>
          </w:tcPr>
          <w:p>
            <w:r>
              <w:t>0.284</w:t>
            </w:r>
          </w:p>
        </w:tc>
        <w:tc>
          <w:tcPr>
            <w:tcW w:type="dxa" w:w="1234"/>
          </w:tcPr>
          <w:p>
            <w:r>
              <w:t>0.337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Hypertension</w:t>
            </w:r>
          </w:p>
        </w:tc>
        <w:tc>
          <w:tcPr>
            <w:tcW w:type="dxa" w:w="2160"/>
          </w:tcPr>
          <w:p>
            <w:r>
              <w:t>Hypertension</w:t>
            </w:r>
          </w:p>
        </w:tc>
      </w:tr>
      <w:tr>
        <w:tc>
          <w:tcPr>
            <w:tcW w:type="dxa" w:w="2160"/>
          </w:tcPr>
          <w:p>
            <w:r>
              <w:t>Liver stiffness, kPa (exposure)</w:t>
            </w:r>
          </w:p>
        </w:tc>
        <w:tc>
          <w:tcPr>
            <w:tcW w:type="dxa" w:w="2160"/>
          </w:tcPr>
          <w:p>
            <w:r>
              <w:t>6.1</w:t>
            </w:r>
          </w:p>
        </w:tc>
        <w:tc>
          <w:tcPr>
            <w:tcW w:type="dxa" w:w="2160"/>
          </w:tcPr>
          <w:p>
            <w:r>
              <w:t>5.5</w:t>
            </w:r>
          </w:p>
        </w:tc>
        <w:tc>
          <w:tcPr>
            <w:tcW w:type="dxa" w:w="2160"/>
          </w:tcPr>
          <w:p>
            <w:r>
              <w:t>7.2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41.4</w:t>
            </w:r>
          </w:p>
        </w:tc>
        <w:tc>
          <w:tcPr>
            <w:tcW w:type="dxa" w:w="2160"/>
          </w:tcPr>
          <w:p>
            <w:r>
              <w:t>59.0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48.3%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28.0</w:t>
            </w:r>
          </w:p>
        </w:tc>
        <w:tc>
          <w:tcPr>
            <w:tcW w:type="dxa" w:w="2160"/>
          </w:tcPr>
          <w:p>
            <w:r>
              <w:t>31.0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43.5%</w:t>
            </w:r>
          </w:p>
        </w:tc>
        <w:tc>
          <w:tcPr>
            <w:tcW w:type="dxa" w:w="2160"/>
          </w:tcPr>
          <w:p>
            <w:r>
              <w:t>40.5%</w:t>
            </w:r>
          </w:p>
        </w:tc>
        <w:tc>
          <w:tcPr>
            <w:tcW w:type="dxa" w:w="2160"/>
          </w:tcPr>
          <w:p>
            <w:r>
              <w:t>48.7%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82.8%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