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Hypertension (odds ratio per 1-SD 1.02 (95% CI 0.98 to 1.07), false discovery rate q 0.421)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0.98 to 1.07)</w:t>
            </w:r>
          </w:p>
        </w:tc>
        <w:tc>
          <w:tcPr>
            <w:tcW w:type="dxa" w:w="1234"/>
          </w:tcPr>
          <w:p>
            <w:r>
              <w:t>0.365</w:t>
            </w:r>
          </w:p>
        </w:tc>
        <w:tc>
          <w:tcPr>
            <w:tcW w:type="dxa" w:w="1234"/>
          </w:tcPr>
          <w:p>
            <w:r>
              <w:t>0.421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140.0</w:t>
            </w:r>
          </w:p>
        </w:tc>
        <w:tc>
          <w:tcPr>
            <w:tcW w:type="dxa" w:w="2160"/>
          </w:tcPr>
          <w:p>
            <w:r>
              <w:t>138.9</w:t>
            </w:r>
          </w:p>
        </w:tc>
        <w:tc>
          <w:tcPr>
            <w:tcW w:type="dxa" w:w="2160"/>
          </w:tcPr>
          <w:p>
            <w:r>
              <w:t>142.0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