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Hypertension (odds ratio 1.06 (95% CI 0.97 to 1.16), false discovery rate q 0.272)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0.97 to 1.16)</w:t>
            </w:r>
          </w:p>
        </w:tc>
        <w:tc>
          <w:tcPr>
            <w:tcW w:type="dxa" w:w="1234"/>
          </w:tcPr>
          <w:p>
            <w:r>
              <w:t>0.224</w:t>
            </w:r>
          </w:p>
        </w:tc>
        <w:tc>
          <w:tcPr>
            <w:tcW w:type="dxa" w:w="1234"/>
          </w:tcPr>
          <w:p>
            <w:r>
              <w:t>0.272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28.5%</w:t>
            </w:r>
          </w:p>
        </w:tc>
        <w:tc>
          <w:tcPr>
            <w:tcW w:type="dxa" w:w="2160"/>
          </w:tcPr>
          <w:p>
            <w:r>
              <w:t>39.9%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