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Hypertension (odds ratio per 1-SD 1.01 (95% CI 0.97 to 1.05), false discovery rate q 0.691)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0.97 to 1.05)</w:t>
            </w:r>
          </w:p>
        </w:tc>
        <w:tc>
          <w:tcPr>
            <w:tcW w:type="dxa" w:w="1234"/>
          </w:tcPr>
          <w:p>
            <w:r>
              <w:t>0.647</w:t>
            </w:r>
          </w:p>
        </w:tc>
        <w:tc>
          <w:tcPr>
            <w:tcW w:type="dxa" w:w="1234"/>
          </w:tcPr>
          <w:p>
            <w:r>
              <w:t>0.691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193.7</w:t>
            </w:r>
          </w:p>
        </w:tc>
        <w:tc>
          <w:tcPr>
            <w:tcW w:type="dxa" w:w="2160"/>
          </w:tcPr>
          <w:p>
            <w:r>
              <w:t>192.9</w:t>
            </w:r>
          </w:p>
        </w:tc>
        <w:tc>
          <w:tcPr>
            <w:tcW w:type="dxa" w:w="2160"/>
          </w:tcPr>
          <w:p>
            <w:r>
              <w:t>195.1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