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Hypertriglyceridemia (NCEP TG&gt;=150) (odds ratio per 1-SD 1.19 (95% CI 1.14 to 1.25), false discovery rate q &lt;0.001) among 12287 adults aged 20 years or older (a weighted Hypertriglyceridemia (NCEP TG&gt;=150) prevalence of 25.0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1.14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