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Controlled attenuation parameter, dB/m and Hypertriglyceridemia (NCEP TG&gt;=150)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Controlled attenuation parameter, dB/m was positively associated with Hypertriglyceridemia (NCEP TG&gt;=150) (odds ratio per 1-SD 1.86 (95% CI 1.51 to 2.29), false discovery rate q &lt;0.001) among 12287 adults aged 20 years or older (a weighted Hypertriglyceridemia (NCEP TG&gt;=150) prevalence of 25.0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1.86 (95% CI 1.51 to 2.29)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Controlled attenuation parameter, dB/m (exposure)</w:t>
            </w:r>
          </w:p>
        </w:tc>
        <w:tc>
          <w:tcPr>
            <w:tcW w:type="dxa" w:w="2160"/>
          </w:tcPr>
          <w:p>
            <w:r>
              <w:t>261.7</w:t>
            </w:r>
          </w:p>
        </w:tc>
        <w:tc>
          <w:tcPr>
            <w:tcW w:type="dxa" w:w="2160"/>
          </w:tcPr>
          <w:p>
            <w:r>
              <w:t>253.7</w:t>
            </w:r>
          </w:p>
        </w:tc>
        <w:tc>
          <w:tcPr>
            <w:tcW w:type="dxa" w:w="2160"/>
          </w:tcPr>
          <w:p>
            <w:r>
              <w:t>292.5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28.4</w:t>
            </w:r>
          </w:p>
        </w:tc>
        <w:tc>
          <w:tcPr>
            <w:tcW w:type="dxa" w:w="2160"/>
          </w:tcPr>
          <w:p>
            <w:r>
              <w:t>31.3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51.2%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