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Hypertriglyceridemia (NCEP TG&gt;=150) (odds ratio per 1-SD 1.23 (95% CI 1.15 to 1.33), false discovery rate q &lt;0.001) among 12287 adults aged 20 years or older (a weighted Hypertriglyceridemia (NCEP TG&gt;=150) prevalence of 25.0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1.23 (95% CI 1.15 to 1.33)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70.9</w:t>
            </w:r>
          </w:p>
        </w:tc>
        <w:tc>
          <w:tcPr>
            <w:tcW w:type="dxa" w:w="2160"/>
          </w:tcPr>
          <w:p>
            <w:r>
              <w:t>70.1</w:t>
            </w:r>
          </w:p>
        </w:tc>
        <w:tc>
          <w:tcPr>
            <w:tcW w:type="dxa" w:w="2160"/>
          </w:tcPr>
          <w:p>
            <w:r>
              <w:t>73.2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