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Hypertriglyceridemia (NCEP TG&gt;=150) (odds ratio per 1-SD 1.03 (95% CI 0.94 to 1.12), false discovery rate q 0.588)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0.94 to 1.12)</w:t>
            </w:r>
          </w:p>
        </w:tc>
        <w:tc>
          <w:tcPr>
            <w:tcW w:type="dxa" w:w="1234"/>
          </w:tcPr>
          <w:p>
            <w:r>
              <w:t>0.531</w:t>
            </w:r>
          </w:p>
        </w:tc>
        <w:tc>
          <w:tcPr>
            <w:tcW w:type="dxa" w:w="1234"/>
          </w:tcPr>
          <w:p>
            <w:r>
              <w:t>0.588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96.7</w:t>
            </w:r>
          </w:p>
        </w:tc>
        <w:tc>
          <w:tcPr>
            <w:tcW w:type="dxa" w:w="2160"/>
          </w:tcPr>
          <w:p>
            <w:r>
              <w:t>97.2</w:t>
            </w:r>
          </w:p>
        </w:tc>
        <w:tc>
          <w:tcPr>
            <w:tcW w:type="dxa" w:w="2160"/>
          </w:tcPr>
          <w:p>
            <w:r>
              <w:t>95.0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