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Hypertriglyceridemia (NCEP TG&gt;=150) (odds ratio per 1-SD 0.92 (95% CI 0.86 to 0.98), false discovery rate q 0.026) among 12287 adults aged 20 years or older (a weighted Hypertriglyceridemia (NCEP TG&gt;=150) prevalence of 25.0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0.86 to 0.98)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168.6</w:t>
            </w:r>
          </w:p>
        </w:tc>
        <w:tc>
          <w:tcPr>
            <w:tcW w:type="dxa" w:w="2160"/>
          </w:tcPr>
          <w:p>
            <w:r>
              <w:t>168.5</w:t>
            </w:r>
          </w:p>
        </w:tc>
        <w:tc>
          <w:tcPr>
            <w:tcW w:type="dxa" w:w="2160"/>
          </w:tcPr>
          <w:p>
            <w:r>
              <w:t>169.1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