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Hypertriglyceridemia (NCEP TG&gt;=150) (odds ratio 0.71 (95% CI 0.39 to 1.26), false discovery rate q 0.295)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0.39 to 1.26)</w:t>
            </w:r>
          </w:p>
        </w:tc>
        <w:tc>
          <w:tcPr>
            <w:tcW w:type="dxa" w:w="1234"/>
          </w:tcPr>
          <w:p>
            <w:r>
              <w:t>0.245</w:t>
            </w:r>
          </w:p>
        </w:tc>
        <w:tc>
          <w:tcPr>
            <w:tcW w:type="dxa" w:w="1234"/>
          </w:tcPr>
          <w:p>
            <w:r>
              <w:t>0.295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