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Hypertriglyceridemia (NCEP TG&gt;=150) (odds ratio 2.24 (95% CI 2.01 to 2.49), false discovery rate q &lt;0.001) among 12287 adults aged 20 years or older (a weighted Hypertriglyceridemia (NCEP TG&gt;=150) prevalence of 25.0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2.24 (95% CI 2.01 to 2.49)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  <w:tc>
          <w:tcPr>
            <w:tcW w:type="dxa" w:w="2160"/>
          </w:tcPr>
          <w:p>
            <w:r>
              <w:t>32.2%</w:t>
            </w:r>
          </w:p>
        </w:tc>
        <w:tc>
          <w:tcPr>
            <w:tcW w:type="dxa" w:w="2160"/>
          </w:tcPr>
          <w:p>
            <w:r>
              <w:t>50.9%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