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Hypertriglyceridemia (NCEP TG&gt;=150) (odds ratio per 1-SD 1.14 (95% CI 1.08 to 1.21),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1.08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246.7</w:t>
            </w:r>
          </w:p>
        </w:tc>
        <w:tc>
          <w:tcPr>
            <w:tcW w:type="dxa" w:w="2160"/>
          </w:tcPr>
          <w:p>
            <w:r>
              <w:t>244.9</w:t>
            </w:r>
          </w:p>
        </w:tc>
        <w:tc>
          <w:tcPr>
            <w:tcW w:type="dxa" w:w="2160"/>
          </w:tcPr>
          <w:p>
            <w:r>
              <w:t>252.2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