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Hypertriglyceridemia (NCEP TG&gt;=150) (odds ratio per 1-SD 1.00 (95% CI 0.95 to 1.05), false discovery rate q 0.932)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1.05)</w:t>
            </w:r>
          </w:p>
        </w:tc>
        <w:tc>
          <w:tcPr>
            <w:tcW w:type="dxa" w:w="1234"/>
          </w:tcPr>
          <w:p>
            <w:r>
              <w:t>0.921</w:t>
            </w:r>
          </w:p>
        </w:tc>
        <w:tc>
          <w:tcPr>
            <w:tcW w:type="dxa" w:w="1234"/>
          </w:tcPr>
          <w:p>
            <w:r>
              <w:t>0.932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