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Serum uric acid, mg/dL and Hypertriglyceridemia (NCEP TG&gt;=150)</w:t>
      </w:r>
    </w:p>
    <w:p>
      <w:r>
        <w:t>NHANES ·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National Health and Nutrition Examination Survey, Serum uric acid, mg/dL was positively associated with Hypertriglyceridemia (NCEP TG&gt;=150) (odds ratio per 1-SD 1.43 (95% CI 1.34 to 1.54), false discovery rate q &lt;0.001) among 12287 adults aged 20 years or older (a weighted Hypertriglyceridemia (NCEP TG&gt;=150) prevalence of 25.0 percent, survey-weighted). Confounders: Age, years, Male sex, Body mass index, kg/m2,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smoking and alcohol. Adjustment for this exposure: Age, years, Male sex, Body mass index, kg/m2,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Serum uric acid, mg/dL</w:t>
            </w:r>
          </w:p>
        </w:tc>
        <w:tc>
          <w:tcPr>
            <w:tcW w:type="dxa" w:w="1234"/>
          </w:tcPr>
          <w:p>
            <w:r>
              <w:t>Hypertriglyceridemia (NCEP TG&gt;=150)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1.43 (95% CI 1.34 to 1.54)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12287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Hypertriglyceridemia (NCEP TG&gt;=150)</w:t>
            </w:r>
          </w:p>
        </w:tc>
        <w:tc>
          <w:tcPr>
            <w:tcW w:type="dxa" w:w="2160"/>
          </w:tcPr>
          <w:p>
            <w:r>
              <w:t>Hypertriglyceridemia (NCEP TG&gt;=150)</w:t>
            </w:r>
          </w:p>
        </w:tc>
      </w:tr>
      <w:tr>
        <w:tc>
          <w:tcPr>
            <w:tcW w:type="dxa" w:w="2160"/>
          </w:tcPr>
          <w:p>
            <w:r>
              <w:t>Serum uric acid, mg/dL (exposure)</w:t>
            </w:r>
          </w:p>
        </w:tc>
        <w:tc>
          <w:tcPr>
            <w:tcW w:type="dxa" w:w="2160"/>
          </w:tcPr>
          <w:p>
            <w:r>
              <w:t>5.4</w:t>
            </w:r>
          </w:p>
        </w:tc>
        <w:tc>
          <w:tcPr>
            <w:tcW w:type="dxa" w:w="2160"/>
          </w:tcPr>
          <w:p>
            <w:r>
              <w:t>5.3</w:t>
            </w:r>
          </w:p>
        </w:tc>
        <w:tc>
          <w:tcPr>
            <w:tcW w:type="dxa" w:w="2160"/>
          </w:tcPr>
          <w:p>
            <w:r>
              <w:t>6.0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47.9</w:t>
            </w:r>
          </w:p>
        </w:tc>
        <w:tc>
          <w:tcPr>
            <w:tcW w:type="dxa" w:w="2160"/>
          </w:tcPr>
          <w:p>
            <w:r>
              <w:t>47.2</w:t>
            </w:r>
          </w:p>
        </w:tc>
        <w:tc>
          <w:tcPr>
            <w:tcW w:type="dxa" w:w="2160"/>
          </w:tcPr>
          <w:p>
            <w:r>
              <w:t>50.0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48.6%</w:t>
            </w:r>
          </w:p>
        </w:tc>
        <w:tc>
          <w:tcPr>
            <w:tcW w:type="dxa" w:w="2160"/>
          </w:tcPr>
          <w:p>
            <w:r>
              <w:t>46.3%</w:t>
            </w:r>
          </w:p>
        </w:tc>
        <w:tc>
          <w:tcPr>
            <w:tcW w:type="dxa" w:w="2160"/>
          </w:tcPr>
          <w:p>
            <w:r>
              <w:t>55.6%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29.1</w:t>
            </w:r>
          </w:p>
        </w:tc>
        <w:tc>
          <w:tcPr>
            <w:tcW w:type="dxa" w:w="2160"/>
          </w:tcPr>
          <w:p>
            <w:r>
              <w:t>28.4</w:t>
            </w:r>
          </w:p>
        </w:tc>
        <w:tc>
          <w:tcPr>
            <w:tcW w:type="dxa" w:w="2160"/>
          </w:tcPr>
          <w:p>
            <w:r>
              <w:t>31.3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43.9%</w:t>
            </w:r>
          </w:p>
        </w:tc>
        <w:tc>
          <w:tcPr>
            <w:tcW w:type="dxa" w:w="2160"/>
          </w:tcPr>
          <w:p>
            <w:r>
              <w:t>41.4%</w:t>
            </w:r>
          </w:p>
        </w:tc>
        <w:tc>
          <w:tcPr>
            <w:tcW w:type="dxa" w:w="2160"/>
          </w:tcPr>
          <w:p>
            <w:r>
              <w:t>51.2%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81.1%</w:t>
            </w:r>
          </w:p>
        </w:tc>
        <w:tc>
          <w:tcPr>
            <w:tcW w:type="dxa" w:w="2160"/>
          </w:tcPr>
          <w:p>
            <w:r>
              <w:t>81.5%</w:t>
            </w:r>
          </w:p>
        </w:tc>
        <w:tc>
          <w:tcPr>
            <w:tcW w:type="dxa" w:w="2160"/>
          </w:tcPr>
          <w:p>
            <w:r>
              <w:t>80.1%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