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Hypertriglyceridemia (NCEP TG&gt;=150) (odds ratio per 1-SD 1.15 (95% CI 1.07 to 1.23),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1.07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121.8</w:t>
            </w:r>
          </w:p>
        </w:tc>
        <w:tc>
          <w:tcPr>
            <w:tcW w:type="dxa" w:w="2160"/>
          </w:tcPr>
          <w:p>
            <w:r>
              <w:t>120.7</w:t>
            </w:r>
          </w:p>
        </w:tc>
        <w:tc>
          <w:tcPr>
            <w:tcW w:type="dxa" w:w="2160"/>
          </w:tcPr>
          <w:p>
            <w:r>
              <w:t>125.1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