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Hypertriglyceridemia (NCEP TG&gt;=150) (odds ratio 0.93 (95% CI 0.81 to 1.07), false discovery rate q 0.380)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0.81 to 1.07)</w:t>
            </w:r>
          </w:p>
        </w:tc>
        <w:tc>
          <w:tcPr>
            <w:tcW w:type="dxa" w:w="1234"/>
          </w:tcPr>
          <w:p>
            <w:r>
              <w:t>0.325</w:t>
            </w:r>
          </w:p>
        </w:tc>
        <w:tc>
          <w:tcPr>
            <w:tcW w:type="dxa" w:w="1234"/>
          </w:tcPr>
          <w:p>
            <w:r>
              <w:t>0.380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24.3%</w:t>
            </w:r>
          </w:p>
        </w:tc>
        <w:tc>
          <w:tcPr>
            <w:tcW w:type="dxa" w:w="2160"/>
          </w:tcPr>
          <w:p>
            <w:r>
              <w:t>25.3%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