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Hypertriglyceridemia (NCEP TG&gt;=150) (odds ratio per 1-SD 1.48 (95% CI 1.39 to 1.58),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1.39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83.0</w:t>
            </w:r>
          </w:p>
        </w:tc>
        <w:tc>
          <w:tcPr>
            <w:tcW w:type="dxa" w:w="2160"/>
          </w:tcPr>
          <w:p>
            <w:r>
              <w:t>80.7</w:t>
            </w:r>
          </w:p>
        </w:tc>
        <w:tc>
          <w:tcPr>
            <w:tcW w:type="dxa" w:w="2160"/>
          </w:tcPr>
          <w:p>
            <w:r>
              <w:t>89.8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