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Controlled attenuation parameter, dB/m and Insulin resistance (HOMA-IR&gt;=2.5)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Controlled attenuation parameter, dB/m was positively associated with Insulin resistance (HOMA-IR&gt;=2.5) (odds ratio per 1-SD 1.97 (95% CI 1.64 to 2.38), false discovery rate q &lt;0.001) among 12256 adults aged 20 years or older (a weighted Insulin resistance (HOMA-IR&gt;=2.5) prevalence of 47.9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1.97 (95% CI 1.64 to 2.38)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Controlled attenuation parameter, dB/m (exposure)</w:t>
            </w:r>
          </w:p>
        </w:tc>
        <w:tc>
          <w:tcPr>
            <w:tcW w:type="dxa" w:w="2160"/>
          </w:tcPr>
          <w:p>
            <w:r>
              <w:t>261.7</w:t>
            </w:r>
          </w:p>
        </w:tc>
        <w:tc>
          <w:tcPr>
            <w:tcW w:type="dxa" w:w="2160"/>
          </w:tcPr>
          <w:p>
            <w:r>
              <w:t>234.5</w:t>
            </w:r>
          </w:p>
        </w:tc>
        <w:tc>
          <w:tcPr>
            <w:tcW w:type="dxa" w:w="2160"/>
          </w:tcPr>
          <w:p>
            <w:r>
              <w:t>290.6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46.6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25.9</w:t>
            </w:r>
          </w:p>
        </w:tc>
        <w:tc>
          <w:tcPr>
            <w:tcW w:type="dxa" w:w="2160"/>
          </w:tcPr>
          <w:p>
            <w:r>
              <w:t>32.6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83.2%</w:t>
            </w:r>
          </w:p>
        </w:tc>
        <w:tc>
          <w:tcPr>
            <w:tcW w:type="dxa" w:w="2160"/>
          </w:tcPr>
          <w:p>
            <w:r>
              <w:t>78.7%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