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AST (&gt;40 IU/L) and Insulin resistance (HOMA-IR&gt;=2.5)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Elevated AST (&gt;40 IU/L) was positively associated with Insulin resistance (HOMA-IR&gt;=2.5) (odds ratio 1.68 (95% CI 1.30 to 2.18), false discovery rate q &lt;0.001) among 12256 adults aged 20 years or older (a weighted Insulin resistance (HOMA-IR&gt;=2.5) prevalence of 47.9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measures are excluded as definitional or mediating.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1.68 (95% CI 1.30 to 2.18)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12256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Insulin resistance (HOMA-IR&gt;=2.5)</w:t>
            </w:r>
          </w:p>
        </w:tc>
        <w:tc>
          <w:tcPr>
            <w:tcW w:type="dxa" w:w="2160"/>
          </w:tcPr>
          <w:p>
            <w:r>
              <w:t>Insulin resistance (HOMA-IR&gt;=2.5)</w:t>
            </w:r>
          </w:p>
        </w:tc>
      </w:tr>
      <w:tr>
        <w:tc>
          <w:tcPr>
            <w:tcW w:type="dxa" w:w="2160"/>
          </w:tcPr>
          <w:p>
            <w:r>
              <w:t>Elevated AST (&gt;40 IU/L) (exposure)</w:t>
            </w:r>
          </w:p>
        </w:tc>
        <w:tc>
          <w:tcPr>
            <w:tcW w:type="dxa" w:w="2160"/>
          </w:tcPr>
          <w:p>
            <w:r>
              <w:t>5.0%</w:t>
            </w:r>
          </w:p>
        </w:tc>
        <w:tc>
          <w:tcPr>
            <w:tcW w:type="dxa" w:w="2160"/>
          </w:tcPr>
          <w:p>
            <w:r>
              <w:t>3.6%</w:t>
            </w:r>
          </w:p>
        </w:tc>
        <w:tc>
          <w:tcPr>
            <w:tcW w:type="dxa" w:w="2160"/>
          </w:tcPr>
          <w:p>
            <w:r>
              <w:t>6.6%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46.6</w:t>
            </w:r>
          </w:p>
        </w:tc>
        <w:tc>
          <w:tcPr>
            <w:tcW w:type="dxa" w:w="2160"/>
          </w:tcPr>
          <w:p>
            <w:r>
              <w:t>49.3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  <w:tc>
          <w:tcPr>
            <w:tcW w:type="dxa" w:w="2160"/>
          </w:tcPr>
          <w:p>
            <w:r>
              <w:t>51.0%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25.9</w:t>
            </w:r>
          </w:p>
        </w:tc>
        <w:tc>
          <w:tcPr>
            <w:tcW w:type="dxa" w:w="2160"/>
          </w:tcPr>
          <w:p>
            <w:r>
              <w:t>32.6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43.9%</w:t>
            </w:r>
          </w:p>
        </w:tc>
        <w:tc>
          <w:tcPr>
            <w:tcW w:type="dxa" w:w="2160"/>
          </w:tcPr>
          <w:p>
            <w:r>
              <w:t>43.4%</w:t>
            </w:r>
          </w:p>
        </w:tc>
        <w:tc>
          <w:tcPr>
            <w:tcW w:type="dxa" w:w="2160"/>
          </w:tcPr>
          <w:p>
            <w:r>
              <w:t>44.5%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83.2%</w:t>
            </w:r>
          </w:p>
        </w:tc>
        <w:tc>
          <w:tcPr>
            <w:tcW w:type="dxa" w:w="2160"/>
          </w:tcPr>
          <w:p>
            <w:r>
              <w:t>78.7%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