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FIB-4 index was inversely associated with Insulin resistance (HOMA-IR&gt;=2.5) (odds ratio per 1-SD 0.91 (95% CI 0.83 to 1.00), false discovery rate q 0.081) among 12256 adults aged 20 years or older (a weighted Insulin resistance (HOMA-IR&gt;=2.5) prevalence of 47.9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0.91 (95% CI 0.83 to 1.00)</w:t>
            </w:r>
          </w:p>
        </w:tc>
        <w:tc>
          <w:tcPr>
            <w:tcW w:type="dxa" w:w="1234"/>
          </w:tcPr>
          <w:p>
            <w:r>
              <w:t>0.060</w:t>
            </w:r>
          </w:p>
        </w:tc>
        <w:tc>
          <w:tcPr>
            <w:tcW w:type="dxa" w:w="1234"/>
          </w:tcPr>
          <w:p>
            <w:r>
              <w:t>0.081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