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inversely associated with Insulin resistance (HOMA-IR&gt;=2.5) (odds ratio per 1-SD 0.89 (95% CI 0.80 to 0.99), false discovery rate q 0.044) among 12256 adults aged 20 years or older (a weighted Insulin resistance (HOMA-IR&gt;=2.5) prevalence of 47.9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0.89 (95% CI 0.80 to 0.99)</w:t>
            </w:r>
          </w:p>
        </w:tc>
        <w:tc>
          <w:tcPr>
            <w:tcW w:type="dxa" w:w="1234"/>
          </w:tcPr>
          <w:p>
            <w:r>
              <w:t>0.031</w:t>
            </w:r>
          </w:p>
        </w:tc>
        <w:tc>
          <w:tcPr>
            <w:tcW w:type="dxa" w:w="1234"/>
          </w:tcPr>
          <w:p>
            <w:r>
              <w:t>0.044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