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positively associated with Insulin resistance (HOMA-IR&gt;=2.5) (odds ratio 1.10 (95% CI 0.91 to 1.33), false discovery rate q 0.396) among 12256 adults aged 20 years or older (a weighted Insulin resistance (HOMA-IR&gt;=2.5) prevalence of 47.9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1.10 (95% CI 0.91 to 1.33)</w:t>
            </w:r>
          </w:p>
        </w:tc>
        <w:tc>
          <w:tcPr>
            <w:tcW w:type="dxa" w:w="1234"/>
          </w:tcPr>
          <w:p>
            <w:r>
              <w:t>0.340</w:t>
            </w:r>
          </w:p>
        </w:tc>
        <w:tc>
          <w:tcPr>
            <w:tcW w:type="dxa" w:w="1234"/>
          </w:tcPr>
          <w:p>
            <w:r>
              <w:t>0.396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10.2%</w:t>
            </w:r>
          </w:p>
        </w:tc>
        <w:tc>
          <w:tcPr>
            <w:tcW w:type="dxa" w:w="2160"/>
          </w:tcPr>
          <w:p>
            <w:r>
              <w:t>9.2%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