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inversely associated with Insulin resistance (HOMA-IR&gt;=2.5) (odds ratio per 1-SD 0.95 (95% CI 0.90 to 1.01), false discovery rate q 0.156)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0.90 to 1.01)</w:t>
            </w:r>
          </w:p>
        </w:tc>
        <w:tc>
          <w:tcPr>
            <w:tcW w:type="dxa" w:w="1234"/>
          </w:tcPr>
          <w:p>
            <w:r>
              <w:t>0.122</w:t>
            </w:r>
          </w:p>
        </w:tc>
        <w:tc>
          <w:tcPr>
            <w:tcW w:type="dxa" w:w="1234"/>
          </w:tcPr>
          <w:p>
            <w:r>
              <w:t>0.156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113.6</w:t>
            </w:r>
          </w:p>
        </w:tc>
        <w:tc>
          <w:tcPr>
            <w:tcW w:type="dxa" w:w="2160"/>
          </w:tcPr>
          <w:p>
            <w:r>
              <w:t>113.2</w:t>
            </w:r>
          </w:p>
        </w:tc>
        <w:tc>
          <w:tcPr>
            <w:tcW w:type="dxa" w:w="2160"/>
          </w:tcPr>
          <w:p>
            <w:r>
              <w:t>114.1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