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inversely associated with Insulin resistance (HOMA-IR&gt;=2.5) (odds ratio 0.88 (95% CI 0.62 to 1.25), false discovery rate q 0.540) among 12256 adults aged 20 years or older (a weighted Insulin resistance (HOMA-IR&gt;=2.5) prevalence of 47.9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0.88 (95% CI 0.62 to 1.25)</w:t>
            </w:r>
          </w:p>
        </w:tc>
        <w:tc>
          <w:tcPr>
            <w:tcW w:type="dxa" w:w="1234"/>
          </w:tcPr>
          <w:p>
            <w:r>
              <w:t>0.482</w:t>
            </w:r>
          </w:p>
        </w:tc>
        <w:tc>
          <w:tcPr>
            <w:tcW w:type="dxa" w:w="1234"/>
          </w:tcPr>
          <w:p>
            <w:r>
              <w:t>0.540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7.6%</w:t>
            </w:r>
          </w:p>
        </w:tc>
        <w:tc>
          <w:tcPr>
            <w:tcW w:type="dxa" w:w="2160"/>
          </w:tcPr>
          <w:p>
            <w:r>
              <w:t>9.8%</w:t>
            </w:r>
          </w:p>
        </w:tc>
        <w:tc>
          <w:tcPr>
            <w:tcW w:type="dxa" w:w="2160"/>
          </w:tcPr>
          <w:p>
            <w:r>
              <w:t>5.3%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