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positively associated with LDL cholesterol, mg/dL (beta coefficient 4.33 (95% CI -0.54 to 9.20), false discovery rate q 0.149)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4.33 (95% CI -0.54 to 9.20)</w:t>
            </w:r>
          </w:p>
        </w:tc>
        <w:tc>
          <w:tcPr>
            <w:tcW w:type="dxa" w:w="1234"/>
          </w:tcPr>
          <w:p>
            <w:r>
              <w:t>0.116</w:t>
            </w:r>
          </w:p>
        </w:tc>
        <w:tc>
          <w:tcPr>
            <w:tcW w:type="dxa" w:w="1234"/>
          </w:tcPr>
          <w:p>
            <w:r>
              <w:t>0.149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55.1%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