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LDL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inversely associated with LDL cholesterol, mg/dL (beta coefficient per 1-SD -0.90 (95% CI -4.16 to 2.36), false discovery rate q 0.652) among 12093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-0.90 (95% CI -4.16 to 2.36)</w:t>
            </w:r>
          </w:p>
        </w:tc>
        <w:tc>
          <w:tcPr>
            <w:tcW w:type="dxa" w:w="1234"/>
          </w:tcPr>
          <w:p>
            <w:r>
              <w:t>0.601</w:t>
            </w:r>
          </w:p>
        </w:tc>
        <w:tc>
          <w:tcPr>
            <w:tcW w:type="dxa" w:w="1234"/>
          </w:tcPr>
          <w:p>
            <w:r>
              <w:t>0.652</w:t>
            </w:r>
          </w:p>
        </w:tc>
        <w:tc>
          <w:tcPr>
            <w:tcW w:type="dxa" w:w="1234"/>
          </w:tcPr>
          <w:p>
            <w:r>
              <w:t>12093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Liver stiffness, kPa (exposure)</w:t>
            </w:r>
          </w:p>
        </w:tc>
        <w:tc>
          <w:tcPr>
            <w:tcW w:type="dxa" w:w="4320"/>
          </w:tcPr>
          <w:p>
            <w:r>
              <w:t>5.8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81.1%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