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positively associated with Leukocytosis (WBC&gt;11) (odds ratio 1.98 (95% CI 1.44 to 2.71), false discovery rate q &lt;0.001) among 25491 adults aged 20 years or older (a weighted Leukocytosis (WBC&gt;11) prevalence of 4.9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1.98 (95% CI 1.44 to 2.71)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Atherogenic dyslipidemia (high TG + low HDL) (exposure)</w:t>
            </w:r>
          </w:p>
        </w:tc>
        <w:tc>
          <w:tcPr>
            <w:tcW w:type="dxa" w:w="2160"/>
          </w:tcPr>
          <w:p>
            <w:r>
              <w:t>13.0%</w:t>
            </w:r>
          </w:p>
        </w:tc>
        <w:tc>
          <w:tcPr>
            <w:tcW w:type="dxa" w:w="2160"/>
          </w:tcPr>
          <w:p>
            <w:r>
              <w:t>12.6%</w:t>
            </w:r>
          </w:p>
        </w:tc>
        <w:tc>
          <w:tcPr>
            <w:tcW w:type="dxa" w:w="2160"/>
          </w:tcPr>
          <w:p>
            <w:r>
              <w:t>26.3%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